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FCDA" w14:textId="38195187" w:rsidR="004B1DE2" w:rsidRPr="004B1DE2" w:rsidRDefault="004B1DE2" w:rsidP="004B1DE2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B1DE2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BÁO GIÁ THI CÔNG</w:t>
      </w:r>
    </w:p>
    <w:p w14:paraId="0C653AEE" w14:textId="7B8AA587" w:rsidR="004B1DE2" w:rsidRPr="004B1DE2" w:rsidRDefault="004B1DE2" w:rsidP="004B1DE2">
      <w:pPr>
        <w:spacing w:after="0" w:line="360" w:lineRule="auto"/>
        <w:jc w:val="center"/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14:ligatures w14:val="none"/>
        </w:rPr>
      </w:pPr>
      <w:proofErr w:type="spellStart"/>
      <w:r w:rsidRPr="004B1DE2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14:ligatures w14:val="none"/>
        </w:rPr>
        <w:t>Bảng</w:t>
      </w:r>
      <w:proofErr w:type="spellEnd"/>
      <w:r w:rsidRPr="004B1DE2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14:ligatures w14:val="none"/>
        </w:rPr>
        <w:t>tham</w:t>
      </w:r>
      <w:proofErr w:type="spellEnd"/>
      <w:r w:rsidRPr="004B1DE2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14:ligatures w14:val="none"/>
        </w:rPr>
        <w:t>khảo</w:t>
      </w:r>
      <w:proofErr w:type="spellEnd"/>
    </w:p>
    <w:p w14:paraId="2DA089F6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</w:p>
    <w:p w14:paraId="028308CC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Đơn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giá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phụ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thuộc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vào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các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yếu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tố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: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tổng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trình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thể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loại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kiến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trúc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trình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18D3C0FD" w14:textId="77777777" w:rsid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Dưới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đây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bảng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báo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giá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cụ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thể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với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mỗi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thể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loại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trình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. </w:t>
      </w:r>
    </w:p>
    <w:p w14:paraId="77F5262A" w14:textId="77E49FCF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Giá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này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được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áp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dụng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từ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ngày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01-01-2021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cho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tới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khi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có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báo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mới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trên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website.</w:t>
      </w:r>
    </w:p>
    <w:p w14:paraId="392EFD59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</w:p>
    <w:p w14:paraId="12C611F9" w14:textId="77777777" w:rsidR="004B1DE2" w:rsidRPr="004B1DE2" w:rsidRDefault="004B1DE2" w:rsidP="004B1DE2">
      <w:pPr>
        <w:numPr>
          <w:ilvl w:val="0"/>
          <w:numId w:val="1"/>
        </w:num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HOTLINE: </w:t>
      </w:r>
      <w:r w:rsidRPr="004B1DE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highlight w:val="yellow"/>
          <w:bdr w:val="none" w:sz="0" w:space="0" w:color="auto" w:frame="1"/>
          <w14:ligatures w14:val="none"/>
        </w:rPr>
        <w:t>0935920968</w:t>
      </w:r>
    </w:p>
    <w:p w14:paraId="6462DB8D" w14:textId="77777777" w:rsidR="004B1DE2" w:rsidRPr="004B1DE2" w:rsidRDefault="004B1DE2" w:rsidP="004B1DE2">
      <w:pPr>
        <w:spacing w:after="0" w:line="360" w:lineRule="auto"/>
        <w:ind w:left="720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924"/>
        <w:gridCol w:w="2501"/>
        <w:gridCol w:w="2173"/>
      </w:tblGrid>
      <w:tr w:rsidR="004B1DE2" w:rsidRPr="004B1DE2" w14:paraId="28985309" w14:textId="77777777" w:rsidTr="004B1DE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3AC3979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CÔNG TRÌNH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125C3C2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THỂ LOẠI KIẾN TRÚC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0D3930F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TỔNG DIỆN TÍCH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FBD9F61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ĐƠN GIÁ</w:t>
            </w:r>
          </w:p>
        </w:tc>
      </w:tr>
      <w:tr w:rsidR="004B1DE2" w:rsidRPr="004B1DE2" w14:paraId="36A060B0" w14:textId="77777777" w:rsidTr="004B1DE2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6B6516A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NHÀ PHỐ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B5E44D8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HIỆN ĐẠI, ĐƠN GIẢN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A83FDB0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≤250m2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4A8465E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3.700.000đ/m2</w:t>
            </w:r>
          </w:p>
        </w:tc>
      </w:tr>
      <w:tr w:rsidR="004B1DE2" w:rsidRPr="004B1DE2" w14:paraId="02302CF0" w14:textId="77777777" w:rsidTr="004B1D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9FFED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C0595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AFF00D6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250m2 &lt;350m2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3D01E89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3.600.000đ/m2</w:t>
            </w:r>
          </w:p>
        </w:tc>
      </w:tr>
      <w:tr w:rsidR="004B1DE2" w:rsidRPr="004B1DE2" w14:paraId="231EE0FB" w14:textId="77777777" w:rsidTr="004B1D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8AB63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3B149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8851074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≥350m2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3D525FC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3.500.000đ/m2</w:t>
            </w:r>
          </w:p>
        </w:tc>
      </w:tr>
      <w:tr w:rsidR="004B1DE2" w:rsidRPr="004B1DE2" w14:paraId="262DE331" w14:textId="77777777" w:rsidTr="004B1D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9CC01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70445DC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CỔ ĐIỂN, PHỨC TẠP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9F900BB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≤250m2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09DF0DB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3.700.000đ/m2</w:t>
            </w:r>
          </w:p>
        </w:tc>
      </w:tr>
      <w:tr w:rsidR="004B1DE2" w:rsidRPr="004B1DE2" w14:paraId="51CE28B4" w14:textId="77777777" w:rsidTr="004B1D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19C47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52297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C8CC9AE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250m2 &lt;350m2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021F559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3.700.000đ/m2</w:t>
            </w:r>
          </w:p>
        </w:tc>
      </w:tr>
      <w:tr w:rsidR="004B1DE2" w:rsidRPr="004B1DE2" w14:paraId="28204250" w14:textId="77777777" w:rsidTr="004B1D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C6545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5E6C7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8332A8C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≥350m2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DF416EC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3.600.000đ/m2</w:t>
            </w:r>
          </w:p>
        </w:tc>
      </w:tr>
      <w:tr w:rsidR="004B1DE2" w:rsidRPr="004B1DE2" w14:paraId="699E5A14" w14:textId="77777777" w:rsidTr="004B1DE2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89CC416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BIỆT THỰ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11B75B5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HIỆN ĐẠI, ĐƠN GIẢN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57F6205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≤250m2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2E01550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3.700.000đ/m2</w:t>
            </w:r>
          </w:p>
        </w:tc>
      </w:tr>
      <w:tr w:rsidR="004B1DE2" w:rsidRPr="004B1DE2" w14:paraId="6D359720" w14:textId="77777777" w:rsidTr="004B1D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F29E10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6B2C4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E24D2DC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250m2 &lt;350m2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5BA0A9B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3.600.000đ/m2</w:t>
            </w:r>
          </w:p>
        </w:tc>
      </w:tr>
      <w:tr w:rsidR="004B1DE2" w:rsidRPr="004B1DE2" w14:paraId="484D4AEC" w14:textId="77777777" w:rsidTr="004B1D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39705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55FFB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26FC667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≥350m2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51B02F6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3.500.000đ/m2</w:t>
            </w:r>
          </w:p>
        </w:tc>
      </w:tr>
      <w:tr w:rsidR="004B1DE2" w:rsidRPr="004B1DE2" w14:paraId="01F9682A" w14:textId="77777777" w:rsidTr="004B1D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00903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BA6AAA8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CỔ ĐIỂN, PHỨC TẠP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3EDBE75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≤250m2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2B056A9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3.800.000đ/m2</w:t>
            </w:r>
          </w:p>
        </w:tc>
      </w:tr>
      <w:tr w:rsidR="004B1DE2" w:rsidRPr="004B1DE2" w14:paraId="20DC90D3" w14:textId="77777777" w:rsidTr="004B1D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DD3C5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21579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70E7276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250m2 &lt;350m2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049F8DA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3.700.000đ/m2</w:t>
            </w:r>
          </w:p>
        </w:tc>
      </w:tr>
      <w:tr w:rsidR="004B1DE2" w:rsidRPr="004B1DE2" w14:paraId="38ED5896" w14:textId="77777777" w:rsidTr="004B1D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CA905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DD11C4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5FF43BA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≥350m2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CD600E5" w14:textId="77777777" w:rsidR="004B1DE2" w:rsidRPr="004B1DE2" w:rsidRDefault="004B1DE2" w:rsidP="004B1DE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B1DE2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3.600.000đ/m2</w:t>
            </w:r>
          </w:p>
        </w:tc>
      </w:tr>
    </w:tbl>
    <w:p w14:paraId="21CD4E12" w14:textId="77777777" w:rsid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046C5507" w14:textId="60F13D66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Ghi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chú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:</w:t>
      </w:r>
    </w:p>
    <w:p w14:paraId="4B069B8C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-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Đơn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giá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trên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theo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hình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thức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khoán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trọn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gói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phần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thô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nhân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hoàn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578A37EE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-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Đơn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giá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trên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áp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dụng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với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điều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mặt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đường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trước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trình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≥ 6m.</w:t>
      </w:r>
    </w:p>
    <w:p w14:paraId="6C9078C7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lastRenderedPageBreak/>
        <w:t xml:space="preserve">- Công ty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khuyến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khích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khách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hàng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nên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thiết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kế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hồ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sơ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kiến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trúc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đầy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đủ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. Khi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đó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ty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sẽ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lập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dự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toán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báo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giá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chính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xác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theo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thiết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kế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theo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chủng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loại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vật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tư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thỏa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thuận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với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chủ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đầu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tư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7D7669E4" w14:textId="77777777" w:rsid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-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Những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trình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khác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: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nhà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hàng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khách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sạn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, karaoke, 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nhỏ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nhiều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tầng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 …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Khách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hàng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liên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hệ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với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ty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để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có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báo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giá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chính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xác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39D6F445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</w:p>
    <w:p w14:paraId="0B6C1C8B" w14:textId="274EAD45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B1DE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PHƯƠNG PHÁP TÍNH DIỆN TÍCH</w:t>
      </w:r>
    </w:p>
    <w:p w14:paraId="41FE7E69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1.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Phần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tầng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hầm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có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độ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sâu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từ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1.0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đến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1.5m so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với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Code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vỉa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hè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150%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5B445038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2.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Phần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tầng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hầm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có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độ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sâu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từ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1.5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đến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2m so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với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Code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vỉa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hè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170%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66C65885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3.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Phần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tầng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hầm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có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độ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sâu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lớn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hơn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2m so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với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Code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vỉa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hè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200%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623EE0E6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4.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Phần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có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mái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che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100%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2146B7B1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5.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Phần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không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có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mái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che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ngoại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trừ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sân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trước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sân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sau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50%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(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sân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thượng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sân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phơi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mái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BTCT, lam BTCT).</w:t>
      </w:r>
    </w:p>
    <w:p w14:paraId="3101B680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6.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Mái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bê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cốt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thép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50%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29C324FE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7.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Mái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Tole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30%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(bao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gồm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phần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xà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gồ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sắt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hộp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– tole).</w:t>
      </w:r>
    </w:p>
    <w:p w14:paraId="3E6EEB9B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8.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Mái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ngói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kèo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sắt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70%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(bao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gồm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hệ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thống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vì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kèo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sắt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) –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theo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mặt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bằng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(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không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mặt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nghiêng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).</w:t>
      </w:r>
    </w:p>
    <w:p w14:paraId="40517027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9.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Mái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ngói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BTCT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100%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–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theo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mặt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bằng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(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không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mặt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nghiêng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).</w:t>
      </w:r>
    </w:p>
    <w:p w14:paraId="0F484FA7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10.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Sân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trước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sân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sau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50%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(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trong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trường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hợp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sân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trước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sân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sau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có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móng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–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đài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cọc-đà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kiềng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70%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).</w:t>
      </w:r>
    </w:p>
    <w:p w14:paraId="64247815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11. Ô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trống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trong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nhà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có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&lt;8m2 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100%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661FA33B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12. Ô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trống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trong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nhà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có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&gt;8m2 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70%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66C5F3F6" w14:textId="77777777" w:rsid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13. Khu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vực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cầu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thang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100%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tích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1DC16014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</w:p>
    <w:p w14:paraId="07AF35A9" w14:textId="1059E771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B1DE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VẬT TƯ SỬ DỤNG THI CÔNG </w:t>
      </w:r>
      <w:proofErr w:type="spellStart"/>
      <w:r w:rsidRPr="004B1DE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TRÌNH</w:t>
      </w:r>
    </w:p>
    <w:p w14:paraId="00D620C8" w14:textId="77777777" w:rsidR="004B1DE2" w:rsidRPr="004B1DE2" w:rsidRDefault="004B1DE2" w:rsidP="004B1DE2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Đối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với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hạng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mục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vật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liệu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phần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thô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phần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cốt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lõi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của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trình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chúng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tôi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kiến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nghị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chủ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đầu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tư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sử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dụng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những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loại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vật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tư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tốt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nhất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trên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thị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trường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xây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dựng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cho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từng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hạng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mục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của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trình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Chúng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tôi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cam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kết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làm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đúng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làm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đủ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những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vật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tư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dưới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đây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Chấp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nhận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chịu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phạt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dưới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mọi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hình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thức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nếu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chủ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đầu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tư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phát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ty vi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phạm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31B4549A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br/>
        <w:t>I. VẬT TƯ PHẦN THÔ</w:t>
      </w:r>
    </w:p>
    <w:p w14:paraId="6E1E5769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1.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Sắt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 </w:t>
      </w:r>
      <w:r w:rsidRPr="004B1DE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VIỆT – NHẬT</w:t>
      </w: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 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hoặc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 </w:t>
      </w:r>
      <w:r w:rsidRPr="004B1DE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POMINA</w:t>
      </w:r>
    </w:p>
    <w:p w14:paraId="1D0C36B8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2.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Đá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10 x 20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Đá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40 x 60.</w:t>
      </w: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br/>
        <w:t>(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Đá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Biên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Hòa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Bình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Điền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)</w:t>
      </w:r>
    </w:p>
    <w:p w14:paraId="789BEB5C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3.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Cát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br/>
        <w:t>(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Cát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Vàng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rửa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hạt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lớn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đổ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bê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) </w:t>
      </w: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br/>
        <w:t>(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Cát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vàng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mi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xây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tô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)</w:t>
      </w:r>
    </w:p>
    <w:p w14:paraId="10A1234F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4. Xi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măng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 </w:t>
      </w:r>
      <w:r w:rsidRPr="004B1DE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HOLCIM</w:t>
      </w: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 – </w:t>
      </w:r>
      <w:r w:rsidRPr="004B1DE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HÀ TIÊN</w:t>
      </w:r>
      <w:r w:rsidRPr="004B1DE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br/>
      </w: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(</w:t>
      </w:r>
      <w:r w:rsidRPr="004B1DE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HOLCIM</w:t>
      </w: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 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đổ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bê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– </w:t>
      </w:r>
      <w:r w:rsidRPr="004B1DE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HÀ TIÊN</w:t>
      </w: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 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xây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tô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)  </w:t>
      </w: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br/>
        <w:t xml:space="preserve">(Xi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măng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xây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tô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M75 –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Tương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đương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1 bao xi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măng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= 10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thùng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cát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)</w:t>
      </w:r>
    </w:p>
    <w:p w14:paraId="10D43CFB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lastRenderedPageBreak/>
        <w:t xml:space="preserve">5.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Bê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trộn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máy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tại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trình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hoặc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bê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thương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phẩm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br/>
        <w:t>(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Tùy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quy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mô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trình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)</w:t>
      </w: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br/>
        <w:t xml:space="preserve">(Mac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bê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theo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thiết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kế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hoặc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Mac 250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với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tỉ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lệ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1 xi/4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cát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/6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đá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).</w:t>
      </w:r>
    </w:p>
    <w:p w14:paraId="39343443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6.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Gạch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 </w:t>
      </w:r>
      <w:r w:rsidRPr="004B1DE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TUYNEL BÌNH DƯƠNG</w:t>
      </w: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. (Thương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hiệu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Tám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Quỳnh, Quốc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Toàn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, Thành Tâm)</w:t>
      </w: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br/>
        <w:t xml:space="preserve">(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Kích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thước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chuẩn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8x8x18mm)</w:t>
      </w:r>
    </w:p>
    <w:p w14:paraId="22C5C855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II.VẬT TƯ ĐIỆN NƯỚC</w:t>
      </w:r>
    </w:p>
    <w:p w14:paraId="18A31E20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1.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Ống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nước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 </w:t>
      </w:r>
      <w:r w:rsidRPr="004B1DE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BÌNH MINH</w:t>
      </w:r>
      <w:r w:rsidRPr="004B1DE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br/>
      </w: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(Theo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quy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cách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tiêu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chuẩn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nhà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sản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xuất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chịu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áp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lực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&gt;PN5)</w:t>
      </w: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br/>
        <w:t>(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Đường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kính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ống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theo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bản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vẽ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thiết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kế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bao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gồm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ống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nước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lạnh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co, T, van </w:t>
      </w:r>
      <w:proofErr w:type="spellStart"/>
      <w:proofErr w:type="gram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khóa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..</w:t>
      </w:r>
      <w:proofErr w:type="gram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)</w:t>
      </w:r>
    </w:p>
    <w:p w14:paraId="44C782C6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2.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Dây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 </w:t>
      </w:r>
      <w:proofErr w:type="gramStart"/>
      <w:r w:rsidRPr="004B1DE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CADIVI</w:t>
      </w: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(</w:t>
      </w:r>
      <w:proofErr w:type="spellStart"/>
      <w:proofErr w:type="gram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Cáp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7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lõi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ruột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đồng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–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Mã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hiệu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CV)</w:t>
      </w: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br/>
        <w:t>(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Tiết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dây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theo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bản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vẽ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thiết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kế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)</w:t>
      </w:r>
    </w:p>
    <w:p w14:paraId="34F0B4E8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3.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Dây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truyền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hình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cáp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ADSL,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thoại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: </w:t>
      </w:r>
      <w:r w:rsidRPr="004B1DE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SINO</w:t>
      </w: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br/>
        <w:t xml:space="preserve">(Thương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hiệu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SINO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hoặc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tương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đương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giá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)</w:t>
      </w:r>
    </w:p>
    <w:p w14:paraId="1158ECFE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4.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Ống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cứng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luồn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dây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âm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trong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sàn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BTCT: </w:t>
      </w:r>
      <w:r w:rsidRPr="004B1DE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VEGA</w:t>
      </w: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1B889568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5.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Ống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ruột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gà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luồn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dây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trong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Dầm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–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Tường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: </w:t>
      </w:r>
      <w:r w:rsidRPr="004B1DE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SINO</w:t>
      </w: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61D8750C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6.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Hóa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chất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chống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thấm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: </w:t>
      </w:r>
      <w:r w:rsidRPr="004B1DE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FLIKOTE</w:t>
      </w: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, </w:t>
      </w:r>
      <w:r w:rsidRPr="004B1DE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SIKA, KOVA.</w:t>
      </w:r>
    </w:p>
    <w:p w14:paraId="480F2506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7.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Thiết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bị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phục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vụ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tác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: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Coffa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cây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chống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các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loại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đinh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kẽm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 </w:t>
      </w:r>
    </w:p>
    <w:p w14:paraId="080C44F4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MÔ TẢ CÔNG VIỆC PHẦN THÔ – NHÂN CÔNG HOÀN THIỆN</w:t>
      </w:r>
    </w:p>
    <w:p w14:paraId="59BDFC16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1. Thi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theo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đúng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bản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vẽ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thiết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kế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các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hạng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mục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sau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:</w:t>
      </w:r>
    </w:p>
    <w:p w14:paraId="687CC1B7" w14:textId="5FD09BAE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2.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Tổ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chức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trường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làm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lán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trại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cho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nhân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(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nếu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điều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mặt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bằng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cho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phép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)</w:t>
      </w: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br/>
        <w:t xml:space="preserve">3.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Vệ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sinh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mặt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bằng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định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vị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tim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móng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br/>
        <w:t xml:space="preserve">4. Đào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đất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móng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dầm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móng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kiềng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hầm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phân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bể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nước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vận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chuyển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đất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đã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đào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đổ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br/>
        <w:t xml:space="preserve">5.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Đập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đầu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cọc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BTCT (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đối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với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những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trình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xử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lý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móng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bằng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phương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pháp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ép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cọc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hoặc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khoan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cọc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nhồi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).</w:t>
      </w: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br/>
        <w:t xml:space="preserve">6.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Đổ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bê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đá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4×6 M100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dày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100mm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đáy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móng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dầm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móng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kiềng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br/>
        <w:t xml:space="preserve">7. Sản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xuất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lắp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dựng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cốt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thép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coffa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đổ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bê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móng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dầm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móng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kiềng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br/>
        <w:t xml:space="preserve">8. Sản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xuất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lắp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dựng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cốt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thép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coffa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đổ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bê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đáy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nắp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hầm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phân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hố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ga,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bể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br/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nước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br/>
        <w:t xml:space="preserve">9. Sản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xuất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lắp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dựng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cốt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thép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coffa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đổ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bê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cột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dầm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sàn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các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tầng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lầu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sân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thượng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mái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br/>
        <w:t xml:space="preserve">10. Sản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xuất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lắp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dựng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cốt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thép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coffa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đổ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bê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cầu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thang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xây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bậc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cầu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thang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bằng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gạch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thẻ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(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không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tô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bậc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).</w:t>
      </w: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br/>
        <w:t xml:space="preserve">11.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Xây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toàn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bộ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tường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bao,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tường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ngăn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chia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phòng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vệ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sinh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toàn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bộ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trình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br/>
        <w:t xml:space="preserve">12.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Tô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vách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toàn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bộ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trình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hoàn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trình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mặt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tiền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15206EA3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13.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Cán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nền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các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tầng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lầu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sân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thượng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mái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ban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nhà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vệ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sinh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18411EEF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14.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Chống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thấm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sàn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sân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thượng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vệ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sinh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mái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ban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154C87C0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17.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Nhân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ốp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gạch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trang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trí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mặt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tiền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phòng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vệ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sinh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(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chủ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nhà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cung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cấp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gạch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đá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keo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joan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phần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vữa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hồ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do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nhà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thầu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cung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cấp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).</w:t>
      </w:r>
    </w:p>
    <w:p w14:paraId="34008AD2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18.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Nhân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sơn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nước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toàn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bộ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ngôi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nhà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(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không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bao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gồm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sơn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gai,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sơn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gấm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. Thi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2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lớp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bả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matic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1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lớp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sơn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lót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2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lớp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sơn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phủ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–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không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sơn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lót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với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khu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vực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trong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nhà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).</w:t>
      </w:r>
    </w:p>
    <w:p w14:paraId="13DA6B5D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lastRenderedPageBreak/>
        <w:t xml:space="preserve">19.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Nhân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sơn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dầu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toàn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bộ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cửa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lan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can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khung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sắt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trong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trình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3D5596CB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20.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Nhân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lắp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đặt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bồn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nước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máy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bơm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nước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thiết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bị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vệ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sinh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(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lắp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đặt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lavabo,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bồn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cầu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van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khóa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vòi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sen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vòi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nóng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lạnh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gương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soi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các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phụ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–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không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bao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gồm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lắp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đặt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bồn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nước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nóng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).</w:t>
      </w:r>
    </w:p>
    <w:p w14:paraId="1786B294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21.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Nhân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lắp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đặt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hệ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thống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đèn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chiếu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sáng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(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lắp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đặt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tắc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ổ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cắm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tủ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MCB,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quạt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hút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đèn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trang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trí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đèn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chiếu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sáng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đèn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lon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–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không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bao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gồm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lắp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đặt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các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loại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đèn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chùm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trang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trí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).</w:t>
      </w:r>
    </w:p>
    <w:p w14:paraId="257DA086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22.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Nhân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lắp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đặt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hệ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thống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ống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nước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nóng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(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nếu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có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)</w:t>
      </w:r>
    </w:p>
    <w:p w14:paraId="5F83F677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23.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Nhân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lợp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ngói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mái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tole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mái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(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nếu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có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).</w:t>
      </w:r>
    </w:p>
    <w:p w14:paraId="64931F80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24.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Dọn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dẹp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vệ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sinh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trình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hằng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ngày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7B2C5D65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25.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Vệ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sinh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cơ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bản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trình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trước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khi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bàn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giao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7007DB1B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26. Bảo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vệ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trình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786D9EE7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CAM KẾT TRONG SUỐT QUÁ TRÌNH XÂY DỰNG</w:t>
      </w:r>
    </w:p>
    <w:p w14:paraId="20760D1D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1. Công ty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tự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tổ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chức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đội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ngũ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. Cam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kết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không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bán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thầu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6BE1DB7D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2.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Tuyệt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đối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không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đưa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vật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tư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giả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vật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tư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kém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chất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lượng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vật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tư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không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đúng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thỏa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thuận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hợp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đồng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vào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trình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Sẵn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sàng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cho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giám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sát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chủ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đầu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tư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kiểm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tra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. Công ty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chấp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nhận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bồi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thường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chịu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phạt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dưới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mọi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hình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thức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nếu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phát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ty vi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phạm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hợp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đồng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52AE2EF7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3. Cam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kết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không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có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bất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cứ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phát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sinh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gì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trong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suốt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quá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trình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xây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dựng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. Trong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trường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hợp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phát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sinh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ty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chịu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hoàn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toàn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chi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phí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phát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sinh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đó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7F4C8A93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4. Cam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kết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đúng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chủng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loại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vật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tư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đúng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khối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lượng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theo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bản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vẽ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thiết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kế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đã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được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duyệt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. Thi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đúng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tiêu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chuẩn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xây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dựng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dân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dụng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sẵn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sàng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cho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chủ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đầu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tư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kiểm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tra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kiểm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định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366D293B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5. Bảo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hành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kết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cấu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2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năm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. Bảo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hành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chống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thấm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dột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1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năm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Thực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hiện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bảo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hành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trong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thời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gian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sớm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nhất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14D391C8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6.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Đội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ngũ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giám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sát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thường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xuyên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kiểm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tra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kiểm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soát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việc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và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cung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ứng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vật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liệu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nhằm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đảm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bảo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trình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được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thi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công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đúng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tiến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độ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. Cam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kết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chịu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phạt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theo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đúng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thỏa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thuận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trong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hợp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spellStart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đồng</w:t>
      </w:r>
      <w:proofErr w:type="spellEnd"/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138C54DD" w14:textId="77777777" w:rsidR="004B1DE2" w:rsidRPr="004B1DE2" w:rsidRDefault="004B1DE2" w:rsidP="004B1DE2">
      <w:pPr>
        <w:spacing w:after="0" w:line="36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B1DE2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35F33295" w14:textId="77777777" w:rsidR="00E13E5B" w:rsidRPr="004B1DE2" w:rsidRDefault="00E13E5B" w:rsidP="004B1DE2">
      <w:pPr>
        <w:spacing w:line="360" w:lineRule="auto"/>
        <w:rPr>
          <w:sz w:val="20"/>
          <w:szCs w:val="20"/>
        </w:rPr>
      </w:pPr>
    </w:p>
    <w:sectPr w:rsidR="00E13E5B" w:rsidRPr="004B1DE2" w:rsidSect="00DC1A7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549E2"/>
    <w:multiLevelType w:val="multilevel"/>
    <w:tmpl w:val="439C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012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E2"/>
    <w:rsid w:val="004B1DE2"/>
    <w:rsid w:val="00BD7ABA"/>
    <w:rsid w:val="00DC1A7C"/>
    <w:rsid w:val="00E1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84DED"/>
  <w15:chartTrackingRefBased/>
  <w15:docId w15:val="{B0550507-E86D-4196-BA3B-AC75BD64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D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D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D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D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D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D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D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D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D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D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D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D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D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D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D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D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D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D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D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D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D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D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DE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B1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1467</Words>
  <Characters>5435</Characters>
  <Application>Microsoft Office Word</Application>
  <DocSecurity>0</DocSecurity>
  <Lines>178</Lines>
  <Paragraphs>98</Paragraphs>
  <ScaleCrop>false</ScaleCrop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 Analyst</dc:creator>
  <cp:keywords/>
  <dc:description/>
  <cp:lastModifiedBy>Data Analyst</cp:lastModifiedBy>
  <cp:revision>1</cp:revision>
  <dcterms:created xsi:type="dcterms:W3CDTF">2024-04-10T16:13:00Z</dcterms:created>
  <dcterms:modified xsi:type="dcterms:W3CDTF">2024-04-10T16:17:00Z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91c9cb3f-49d0-44a2-89a3-1a3d0cb44faf</vt:lpwstr>
  </property>
</Properties>
</file>